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Microsoft JhengHei UI" w:hAnsi="Microsoft JhengHei UI" w:eastAsia="Microsoft JhengHei UI" w:cs="Microsoft JhengHei UI"/>
          <w:b/>
          <w:color w:val="000000"/>
          <w:kern w:val="0"/>
          <w:sz w:val="36"/>
          <w:szCs w:val="36"/>
          <w:lang w:bidi="ar"/>
        </w:rPr>
      </w:pPr>
      <w:r>
        <w:rPr>
          <w:rFonts w:hint="eastAsia" w:ascii="Microsoft JhengHei UI" w:hAnsi="Microsoft JhengHei UI" w:eastAsia="Microsoft JhengHei UI" w:cs="Microsoft JhengHei UI"/>
          <w:b/>
          <w:color w:val="000000"/>
          <w:kern w:val="0"/>
          <w:sz w:val="36"/>
          <w:szCs w:val="36"/>
          <w:lang w:bidi="ar"/>
        </w:rPr>
        <w:t>40万起诚聘博士后中层</w:t>
      </w:r>
    </w:p>
    <w:p>
      <w:pPr>
        <w:widowControl/>
        <w:spacing w:line="360" w:lineRule="auto"/>
        <w:jc w:val="center"/>
        <w:rPr>
          <w:rFonts w:ascii="Times New Roman" w:hAnsi="Times New Roman"/>
          <w:b/>
          <w:color w:val="000000"/>
          <w:kern w:val="0"/>
          <w:sz w:val="28"/>
          <w:szCs w:val="28"/>
          <w:lang w:bidi="ar"/>
        </w:rPr>
      </w:pPr>
      <w:r>
        <w:rPr>
          <w:rFonts w:hint="eastAsia" w:ascii="楷体" w:hAnsi="楷体" w:eastAsia="楷体" w:cs="楷体"/>
          <w:b/>
          <w:color w:val="000000"/>
          <w:kern w:val="0"/>
          <w:sz w:val="30"/>
          <w:szCs w:val="30"/>
          <w:lang w:bidi="ar"/>
        </w:rPr>
        <w:t>（广州市市政工程试验检测有限公司博士后招聘简章）</w:t>
      </w:r>
    </w:p>
    <w:p>
      <w:pPr>
        <w:widowControl/>
        <w:spacing w:after="62" w:afterLines="20" w:line="360" w:lineRule="auto"/>
        <w:ind w:firstLine="480" w:firstLineChars="200"/>
        <w:rPr>
          <w:rFonts w:hint="eastAsia" w:ascii="楷体" w:hAnsi="楷体" w:eastAsia="楷体" w:cs="楷体"/>
          <w:kern w:val="0"/>
          <w:sz w:val="24"/>
          <w:szCs w:val="24"/>
          <w:highlight w:val="none"/>
          <w:lang w:eastAsia="zh-CN"/>
        </w:rPr>
      </w:pPr>
      <w:r>
        <w:rPr>
          <w:rFonts w:hint="eastAsia" w:ascii="楷体" w:hAnsi="楷体" w:eastAsia="楷体" w:cs="楷体"/>
          <w:kern w:val="0"/>
          <w:sz w:val="24"/>
          <w:szCs w:val="24"/>
        </w:rPr>
        <w:t>广州市市政工程试验检测有限公司是一家</w:t>
      </w:r>
      <w:r>
        <w:rPr>
          <w:rFonts w:hint="eastAsia" w:ascii="楷体" w:hAnsi="楷体" w:eastAsia="楷体" w:cs="楷体"/>
          <w:b/>
          <w:bCs/>
          <w:kern w:val="0"/>
          <w:sz w:val="24"/>
          <w:szCs w:val="24"/>
        </w:rPr>
        <w:t>全资国有企业</w:t>
      </w:r>
      <w:r>
        <w:rPr>
          <w:rFonts w:hint="eastAsia" w:ascii="楷体" w:hAnsi="楷体" w:eastAsia="楷体" w:cs="楷体"/>
          <w:kern w:val="0"/>
          <w:sz w:val="24"/>
          <w:szCs w:val="24"/>
        </w:rPr>
        <w:t>，主要从事工程技术研发及相关检验检测业务，业务跨市政、房建、交通、水利等多个行业。</w:t>
      </w:r>
      <w:r>
        <w:rPr>
          <w:rFonts w:hint="eastAsia" w:ascii="楷体" w:hAnsi="楷体" w:eastAsia="楷体" w:cs="楷体"/>
          <w:b w:val="0"/>
          <w:bCs w:val="0"/>
          <w:sz w:val="24"/>
          <w:szCs w:val="24"/>
          <w:lang w:val="en-US" w:eastAsia="zh-CN"/>
        </w:rPr>
        <w:t>公司拥有</w:t>
      </w:r>
      <w:r>
        <w:rPr>
          <w:rFonts w:hint="eastAsia" w:ascii="楷体" w:hAnsi="楷体" w:eastAsia="楷体" w:cs="楷体"/>
          <w:b/>
          <w:bCs/>
          <w:kern w:val="0"/>
          <w:sz w:val="24"/>
          <w:szCs w:val="24"/>
          <w:highlight w:val="none"/>
          <w:lang w:val="en-US" w:eastAsia="zh-CN"/>
        </w:rPr>
        <w:t>国家级国家高新技术企业、广州市企业研发机构、科技型中小企业、</w:t>
      </w:r>
      <w:r>
        <w:rPr>
          <w:rFonts w:hint="eastAsia" w:ascii="楷体" w:hAnsi="楷体" w:eastAsia="楷体" w:cs="楷体"/>
          <w:b/>
          <w:bCs/>
          <w:kern w:val="0"/>
          <w:sz w:val="24"/>
          <w:szCs w:val="24"/>
          <w:highlight w:val="none"/>
        </w:rPr>
        <w:t>广东省装配式地下结构检测与监测工程技术研究中心</w:t>
      </w:r>
      <w:r>
        <w:rPr>
          <w:rFonts w:hint="eastAsia" w:ascii="楷体" w:hAnsi="楷体" w:eastAsia="楷体" w:cs="楷体"/>
          <w:b/>
          <w:bCs/>
          <w:kern w:val="0"/>
          <w:sz w:val="24"/>
          <w:szCs w:val="24"/>
          <w:highlight w:val="none"/>
          <w:lang w:eastAsia="zh-CN"/>
        </w:rPr>
        <w:t>、</w:t>
      </w:r>
      <w:r>
        <w:rPr>
          <w:rFonts w:hint="eastAsia" w:ascii="楷体" w:hAnsi="楷体" w:eastAsia="楷体" w:cs="楷体"/>
          <w:b/>
          <w:bCs/>
          <w:kern w:val="0"/>
          <w:sz w:val="24"/>
          <w:szCs w:val="24"/>
          <w:highlight w:val="none"/>
        </w:rPr>
        <w:t>广</w:t>
      </w:r>
      <w:r>
        <w:rPr>
          <w:rFonts w:hint="eastAsia" w:ascii="楷体" w:hAnsi="楷体" w:eastAsia="楷体" w:cs="楷体"/>
          <w:b/>
          <w:bCs/>
          <w:kern w:val="0"/>
          <w:sz w:val="24"/>
          <w:szCs w:val="24"/>
          <w:highlight w:val="none"/>
          <w:lang w:val="en-US" w:eastAsia="zh-CN"/>
        </w:rPr>
        <w:t>州市企业研发机构和博士后科研工作站等多个高水平研发平台</w:t>
      </w:r>
      <w:r>
        <w:rPr>
          <w:rFonts w:hint="eastAsia" w:ascii="楷体" w:hAnsi="楷体" w:eastAsia="楷体" w:cs="楷体"/>
          <w:kern w:val="0"/>
          <w:sz w:val="24"/>
          <w:szCs w:val="24"/>
          <w:highlight w:val="none"/>
        </w:rPr>
        <w:t>。近年来，公司业务量及课题获奖数量翻倍增长、知识产权蓬勃涌现。公司拥有丰富的人力资源，由“岭南英杰”人才、教授级高级工程师、注册岩土工程师、注册结构工程师、博士和硕士等高素质人才组成的科研团队，致力于岩土、路桥、结构、建材和智能建筑等工程领域的研究，其中多人在高校、省级技术委员会担任指导老师、评审专家，并广泛参与各级科研课题研究和技术标准编制，为工程检验检测事业的创新发展贡献力量。公司提倡自由活泼的科研学术氛围，注重针对实际工程问题开展相关科研活动，与同济大学、华南理工大学、中山大学、</w:t>
      </w:r>
      <w:r>
        <w:rPr>
          <w:rFonts w:hint="eastAsia" w:ascii="楷体" w:hAnsi="楷体" w:eastAsia="楷体" w:cs="楷体"/>
          <w:kern w:val="0"/>
          <w:sz w:val="24"/>
          <w:szCs w:val="24"/>
          <w:highlight w:val="none"/>
          <w:lang w:val="en-US" w:eastAsia="zh-CN"/>
        </w:rPr>
        <w:t>湖南大学、</w:t>
      </w:r>
      <w:r>
        <w:rPr>
          <w:rFonts w:hint="eastAsia" w:ascii="楷体" w:hAnsi="楷体" w:eastAsia="楷体" w:cs="楷体"/>
          <w:kern w:val="0"/>
          <w:sz w:val="24"/>
          <w:szCs w:val="24"/>
          <w:highlight w:val="none"/>
        </w:rPr>
        <w:t>中南大学、保利长大、中交四航局、广东省交通集团有限公司、广州地铁集团、广州市市政集团有限公司等高校和单位长期保持良好的学术合作关系</w:t>
      </w:r>
      <w:r>
        <w:rPr>
          <w:rFonts w:hint="eastAsia" w:ascii="楷体" w:hAnsi="楷体" w:eastAsia="楷体" w:cs="楷体"/>
          <w:kern w:val="0"/>
          <w:sz w:val="24"/>
          <w:szCs w:val="24"/>
          <w:highlight w:val="none"/>
          <w:lang w:eastAsia="zh-CN"/>
        </w:rPr>
        <w:t>。</w:t>
      </w:r>
    </w:p>
    <w:p>
      <w:pPr>
        <w:spacing w:line="360" w:lineRule="auto"/>
        <w:rPr>
          <w:rFonts w:hint="default"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一、福利待遇</w:t>
      </w:r>
    </w:p>
    <w:p>
      <w:pPr>
        <w:spacing w:line="360" w:lineRule="auto"/>
        <w:ind w:firstLine="482" w:firstLineChars="200"/>
        <w:rPr>
          <w:rFonts w:hint="eastAsia" w:ascii="楷体" w:hAnsi="楷体" w:eastAsia="楷体" w:cs="楷体"/>
          <w:b/>
          <w:sz w:val="32"/>
          <w:szCs w:val="32"/>
          <w:highlight w:val="none"/>
        </w:rPr>
      </w:pPr>
      <w:r>
        <w:rPr>
          <w:rFonts w:hint="eastAsia" w:ascii="楷体" w:hAnsi="楷体" w:eastAsia="楷体" w:cs="楷体"/>
          <w:b/>
          <w:bCs/>
          <w:kern w:val="0"/>
          <w:sz w:val="24"/>
          <w:szCs w:val="24"/>
          <w:highlight w:val="none"/>
          <w:lang w:val="en-US" w:eastAsia="zh-CN"/>
        </w:rPr>
        <w:t>1、薪酬</w:t>
      </w:r>
      <w:r>
        <w:rPr>
          <w:rFonts w:hint="eastAsia" w:ascii="楷体" w:hAnsi="楷体" w:eastAsia="楷体" w:cs="楷体"/>
          <w:b/>
          <w:bCs/>
          <w:kern w:val="0"/>
          <w:sz w:val="24"/>
          <w:szCs w:val="24"/>
          <w:highlight w:val="none"/>
        </w:rPr>
        <w:t>待遇</w:t>
      </w:r>
    </w:p>
    <w:p>
      <w:pPr>
        <w:widowControl/>
        <w:spacing w:after="62" w:afterLines="20" w:line="360" w:lineRule="auto"/>
        <w:ind w:firstLine="480" w:firstLineChars="200"/>
        <w:rPr>
          <w:rFonts w:hint="eastAsia" w:ascii="楷体" w:hAnsi="楷体" w:eastAsia="楷体" w:cs="楷体"/>
          <w:b/>
          <w:bCs/>
          <w:kern w:val="0"/>
          <w:sz w:val="24"/>
          <w:szCs w:val="24"/>
          <w:highlight w:val="none"/>
          <w:lang w:eastAsia="zh-CN"/>
        </w:rPr>
      </w:pPr>
      <w:r>
        <w:rPr>
          <w:rFonts w:hint="eastAsia" w:ascii="楷体" w:hAnsi="楷体" w:eastAsia="楷体" w:cs="楷体"/>
          <w:kern w:val="0"/>
          <w:sz w:val="24"/>
          <w:szCs w:val="24"/>
          <w:highlight w:val="none"/>
        </w:rPr>
        <w:t>公司提供有竞争力的薪酬待遇，在站期间</w:t>
      </w:r>
      <w:r>
        <w:rPr>
          <w:rFonts w:hint="eastAsia" w:ascii="楷体" w:hAnsi="楷体" w:eastAsia="楷体" w:cs="楷体"/>
          <w:b/>
          <w:bCs/>
          <w:kern w:val="0"/>
          <w:sz w:val="24"/>
          <w:szCs w:val="24"/>
          <w:highlight w:val="none"/>
        </w:rPr>
        <w:t>年收入不低于40万，上不封顶，在站博士后享受不低于</w:t>
      </w:r>
      <w:r>
        <w:rPr>
          <w:rFonts w:hint="eastAsia" w:ascii="楷体" w:hAnsi="楷体" w:eastAsia="楷体" w:cs="楷体"/>
          <w:b/>
          <w:bCs/>
          <w:kern w:val="0"/>
          <w:sz w:val="24"/>
          <w:szCs w:val="24"/>
          <w:highlight w:val="none"/>
          <w:lang w:val="en-US" w:eastAsia="zh-CN"/>
        </w:rPr>
        <w:t>40</w:t>
      </w:r>
      <w:r>
        <w:rPr>
          <w:rFonts w:hint="eastAsia" w:ascii="楷体" w:hAnsi="楷体" w:eastAsia="楷体" w:cs="楷体"/>
          <w:b/>
          <w:bCs/>
          <w:kern w:val="0"/>
          <w:sz w:val="24"/>
          <w:szCs w:val="24"/>
          <w:highlight w:val="none"/>
        </w:rPr>
        <w:t>万元科研启动经费</w:t>
      </w:r>
      <w:r>
        <w:rPr>
          <w:rFonts w:hint="eastAsia" w:ascii="楷体" w:hAnsi="楷体" w:eastAsia="楷体" w:cs="楷体"/>
          <w:b/>
          <w:bCs/>
          <w:kern w:val="0"/>
          <w:sz w:val="24"/>
          <w:szCs w:val="24"/>
          <w:highlight w:val="none"/>
          <w:lang w:eastAsia="zh-CN"/>
        </w:rPr>
        <w:t>。</w:t>
      </w:r>
    </w:p>
    <w:p>
      <w:pPr>
        <w:widowControl/>
        <w:spacing w:after="62" w:afterLines="20" w:line="360" w:lineRule="auto"/>
        <w:ind w:firstLine="482" w:firstLineChars="200"/>
        <w:rPr>
          <w:rFonts w:hint="eastAsia" w:ascii="楷体" w:hAnsi="楷体" w:eastAsia="楷体" w:cs="楷体"/>
          <w:b/>
          <w:bCs/>
          <w:kern w:val="0"/>
          <w:sz w:val="24"/>
          <w:szCs w:val="24"/>
          <w:highlight w:val="none"/>
          <w:lang w:val="en-US" w:eastAsia="zh-CN"/>
        </w:rPr>
      </w:pPr>
      <w:r>
        <w:rPr>
          <w:rFonts w:hint="eastAsia" w:ascii="楷体" w:hAnsi="楷体" w:eastAsia="楷体" w:cs="楷体"/>
          <w:b/>
          <w:bCs/>
          <w:kern w:val="0"/>
          <w:sz w:val="24"/>
          <w:szCs w:val="24"/>
          <w:highlight w:val="none"/>
          <w:lang w:val="en-US" w:eastAsia="zh-CN"/>
        </w:rPr>
        <w:t>2、安家费</w:t>
      </w:r>
    </w:p>
    <w:p>
      <w:pPr>
        <w:widowControl/>
        <w:spacing w:after="62" w:afterLines="20" w:line="360" w:lineRule="auto"/>
        <w:ind w:firstLine="480" w:firstLineChars="200"/>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出站后</w:t>
      </w:r>
      <w:r>
        <w:rPr>
          <w:rFonts w:hint="eastAsia" w:ascii="楷体" w:hAnsi="楷体" w:eastAsia="楷体" w:cs="楷体"/>
          <w:b/>
          <w:bCs/>
          <w:kern w:val="0"/>
          <w:sz w:val="24"/>
          <w:szCs w:val="24"/>
          <w:highlight w:val="none"/>
        </w:rPr>
        <w:t>享受安家费</w:t>
      </w:r>
      <w:r>
        <w:rPr>
          <w:rFonts w:hint="eastAsia" w:ascii="楷体" w:hAnsi="楷体" w:eastAsia="楷体" w:cs="楷体"/>
          <w:b/>
          <w:bCs/>
          <w:kern w:val="0"/>
          <w:sz w:val="24"/>
          <w:szCs w:val="24"/>
          <w:highlight w:val="none"/>
          <w:lang w:val="en-US" w:eastAsia="zh-CN"/>
        </w:rPr>
        <w:t>60-200</w:t>
      </w:r>
      <w:r>
        <w:rPr>
          <w:rFonts w:hint="eastAsia" w:ascii="楷体" w:hAnsi="楷体" w:eastAsia="楷体" w:cs="楷体"/>
          <w:b/>
          <w:bCs/>
          <w:kern w:val="0"/>
          <w:sz w:val="24"/>
          <w:szCs w:val="24"/>
          <w:highlight w:val="none"/>
        </w:rPr>
        <w:t>万元</w:t>
      </w:r>
      <w:r>
        <w:rPr>
          <w:rFonts w:hint="eastAsia" w:ascii="楷体" w:hAnsi="楷体" w:eastAsia="楷体" w:cs="楷体"/>
          <w:kern w:val="0"/>
          <w:sz w:val="24"/>
          <w:szCs w:val="24"/>
          <w:highlight w:val="none"/>
        </w:rPr>
        <w:t>。</w:t>
      </w:r>
    </w:p>
    <w:p>
      <w:pPr>
        <w:widowControl/>
        <w:numPr>
          <w:ilvl w:val="0"/>
          <w:numId w:val="1"/>
        </w:numPr>
        <w:spacing w:after="62" w:afterLines="20" w:line="360" w:lineRule="auto"/>
        <w:ind w:firstLine="482" w:firstLineChars="200"/>
        <w:rPr>
          <w:rFonts w:hint="eastAsia" w:ascii="楷体" w:hAnsi="楷体" w:eastAsia="楷体" w:cs="楷体"/>
          <w:b/>
          <w:bCs/>
          <w:kern w:val="0"/>
          <w:sz w:val="24"/>
          <w:szCs w:val="24"/>
          <w:highlight w:val="none"/>
          <w:lang w:val="en-US" w:eastAsia="zh-CN"/>
        </w:rPr>
      </w:pPr>
      <w:r>
        <w:rPr>
          <w:rFonts w:hint="eastAsia" w:ascii="楷体" w:hAnsi="楷体" w:eastAsia="楷体" w:cs="楷体"/>
          <w:b/>
          <w:bCs/>
          <w:kern w:val="0"/>
          <w:sz w:val="24"/>
          <w:szCs w:val="24"/>
          <w:highlight w:val="none"/>
          <w:lang w:val="en-US" w:eastAsia="zh-CN"/>
        </w:rPr>
        <w:t>专项奖励</w:t>
      </w:r>
    </w:p>
    <w:p>
      <w:pPr>
        <w:widowControl/>
        <w:spacing w:after="62" w:afterLines="20" w:line="360" w:lineRule="auto"/>
        <w:ind w:firstLine="480" w:firstLineChars="200"/>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lang w:eastAsia="zh-CN"/>
        </w:rPr>
        <w:t>协助</w:t>
      </w:r>
      <w:r>
        <w:rPr>
          <w:rFonts w:hint="eastAsia" w:ascii="楷体" w:hAnsi="楷体" w:eastAsia="楷体" w:cs="楷体"/>
          <w:kern w:val="0"/>
          <w:sz w:val="24"/>
          <w:szCs w:val="24"/>
          <w:highlight w:val="none"/>
        </w:rPr>
        <w:t>个人申报各类纵向科研基金</w:t>
      </w:r>
      <w:r>
        <w:rPr>
          <w:rFonts w:hint="eastAsia" w:ascii="楷体" w:hAnsi="楷体" w:eastAsia="楷体" w:cs="楷体"/>
          <w:kern w:val="0"/>
          <w:sz w:val="24"/>
          <w:szCs w:val="24"/>
          <w:highlight w:val="none"/>
          <w:lang w:eastAsia="zh-CN"/>
        </w:rPr>
        <w:t>、各类人才项目、人才称号及补助</w:t>
      </w:r>
      <w:r>
        <w:rPr>
          <w:rFonts w:hint="eastAsia" w:ascii="楷体" w:hAnsi="楷体" w:eastAsia="楷体" w:cs="楷体"/>
          <w:kern w:val="0"/>
          <w:sz w:val="24"/>
          <w:szCs w:val="24"/>
          <w:highlight w:val="none"/>
        </w:rPr>
        <w:t>，申报成功可享受待遇提升和公司专项奖励政策。</w:t>
      </w:r>
    </w:p>
    <w:p>
      <w:pPr>
        <w:widowControl/>
        <w:spacing w:after="62" w:afterLines="20" w:line="360" w:lineRule="auto"/>
        <w:ind w:firstLine="480" w:firstLineChars="200"/>
        <w:rPr>
          <w:rFonts w:hint="default"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4</w:t>
      </w:r>
      <w:r>
        <w:rPr>
          <w:rFonts w:hint="eastAsia" w:ascii="楷体" w:hAnsi="楷体" w:eastAsia="楷体" w:cs="楷体"/>
          <w:b/>
          <w:bCs/>
          <w:kern w:val="0"/>
          <w:sz w:val="24"/>
          <w:szCs w:val="24"/>
          <w:highlight w:val="none"/>
          <w:lang w:val="en-US" w:eastAsia="zh-CN"/>
        </w:rPr>
        <w:t>、职位晋升</w:t>
      </w:r>
    </w:p>
    <w:p>
      <w:pPr>
        <w:widowControl/>
        <w:spacing w:after="62" w:afterLines="20" w:line="360" w:lineRule="auto"/>
        <w:ind w:firstLine="480" w:firstLineChars="200"/>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博士后进站即作为公司中层后备人才培养，</w:t>
      </w:r>
      <w:r>
        <w:rPr>
          <w:rFonts w:hint="eastAsia" w:ascii="楷体" w:hAnsi="楷体" w:eastAsia="楷体" w:cs="楷体"/>
          <w:b/>
          <w:bCs/>
          <w:kern w:val="0"/>
          <w:sz w:val="24"/>
          <w:szCs w:val="24"/>
          <w:highlight w:val="none"/>
        </w:rPr>
        <w:t>一年后提拔为公司中层领导</w:t>
      </w:r>
      <w:r>
        <w:rPr>
          <w:rFonts w:hint="eastAsia" w:ascii="楷体" w:hAnsi="楷体" w:eastAsia="楷体" w:cs="楷体"/>
          <w:kern w:val="0"/>
          <w:sz w:val="24"/>
          <w:szCs w:val="24"/>
          <w:highlight w:val="none"/>
        </w:rPr>
        <w:t>。</w:t>
      </w:r>
    </w:p>
    <w:p>
      <w:pPr>
        <w:widowControl/>
        <w:numPr>
          <w:ilvl w:val="0"/>
          <w:numId w:val="0"/>
        </w:numPr>
        <w:spacing w:after="62" w:afterLines="20" w:line="360" w:lineRule="auto"/>
        <w:ind w:firstLine="482" w:firstLineChars="200"/>
        <w:rPr>
          <w:rFonts w:hint="default" w:ascii="楷体" w:hAnsi="楷体" w:eastAsia="楷体" w:cs="楷体"/>
          <w:b/>
          <w:bCs/>
          <w:kern w:val="0"/>
          <w:sz w:val="24"/>
          <w:szCs w:val="24"/>
          <w:highlight w:val="none"/>
          <w:lang w:val="en-US" w:eastAsia="zh-CN"/>
        </w:rPr>
      </w:pPr>
      <w:r>
        <w:rPr>
          <w:rFonts w:hint="eastAsia" w:ascii="楷体" w:hAnsi="楷体" w:eastAsia="楷体" w:cs="楷体"/>
          <w:b/>
          <w:bCs/>
          <w:kern w:val="0"/>
          <w:sz w:val="24"/>
          <w:szCs w:val="24"/>
          <w:highlight w:val="none"/>
          <w:lang w:val="en-US" w:eastAsia="zh-CN"/>
        </w:rPr>
        <w:t>5、职称评审</w:t>
      </w:r>
    </w:p>
    <w:p>
      <w:pPr>
        <w:widowControl/>
        <w:spacing w:after="62" w:afterLines="20" w:line="360" w:lineRule="auto"/>
        <w:ind w:firstLine="480" w:firstLineChars="200"/>
        <w:rPr>
          <w:rFonts w:hint="eastAsia" w:ascii="楷体" w:hAnsi="楷体" w:eastAsia="楷体" w:cs="楷体"/>
          <w:b/>
          <w:bCs/>
          <w:kern w:val="0"/>
          <w:sz w:val="24"/>
          <w:szCs w:val="24"/>
          <w:highlight w:val="none"/>
        </w:rPr>
      </w:pPr>
      <w:r>
        <w:rPr>
          <w:rFonts w:hint="eastAsia" w:ascii="楷体" w:hAnsi="楷体" w:eastAsia="楷体" w:cs="楷体"/>
          <w:kern w:val="0"/>
          <w:sz w:val="24"/>
          <w:szCs w:val="24"/>
          <w:highlight w:val="none"/>
        </w:rPr>
        <w:t>博士进站后直接认定中级职称，</w:t>
      </w:r>
      <w:r>
        <w:rPr>
          <w:rFonts w:hint="eastAsia" w:ascii="楷体" w:hAnsi="楷体" w:eastAsia="楷体" w:cs="楷体"/>
          <w:b/>
          <w:bCs/>
          <w:kern w:val="0"/>
          <w:sz w:val="24"/>
          <w:szCs w:val="24"/>
          <w:highlight w:val="none"/>
        </w:rPr>
        <w:t>满一年公司提供绿色通道参评高级工程师。</w:t>
      </w:r>
    </w:p>
    <w:p>
      <w:pPr>
        <w:widowControl/>
        <w:spacing w:after="62" w:afterLines="20" w:line="360" w:lineRule="auto"/>
        <w:ind w:firstLine="482" w:firstLineChars="200"/>
        <w:rPr>
          <w:rFonts w:hint="default" w:ascii="楷体" w:hAnsi="楷体" w:eastAsia="楷体" w:cs="楷体"/>
          <w:b/>
          <w:bCs/>
          <w:kern w:val="0"/>
          <w:sz w:val="24"/>
          <w:szCs w:val="24"/>
          <w:highlight w:val="none"/>
          <w:lang w:val="en-US" w:eastAsia="zh-CN"/>
        </w:rPr>
      </w:pPr>
      <w:r>
        <w:rPr>
          <w:rFonts w:hint="eastAsia" w:ascii="楷体" w:hAnsi="楷体" w:eastAsia="楷体" w:cs="楷体"/>
          <w:b/>
          <w:bCs/>
          <w:kern w:val="0"/>
          <w:sz w:val="24"/>
          <w:szCs w:val="24"/>
          <w:highlight w:val="none"/>
          <w:lang w:val="en-US" w:eastAsia="zh-CN"/>
        </w:rPr>
        <w:t>6、住房待遇</w:t>
      </w:r>
    </w:p>
    <w:p>
      <w:pPr>
        <w:widowControl/>
        <w:spacing w:after="62" w:afterLines="20" w:line="360" w:lineRule="auto"/>
        <w:ind w:firstLine="480" w:firstLineChars="200"/>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lang w:eastAsia="zh-CN"/>
        </w:rPr>
        <w:t>公司提供住房补贴、享受低租金单间或整套</w:t>
      </w:r>
      <w:r>
        <w:rPr>
          <w:rFonts w:hint="eastAsia" w:ascii="楷体" w:hAnsi="楷体" w:eastAsia="楷体" w:cs="楷体"/>
          <w:kern w:val="0"/>
          <w:sz w:val="24"/>
          <w:szCs w:val="24"/>
          <w:highlight w:val="none"/>
        </w:rPr>
        <w:t>住房</w:t>
      </w:r>
      <w:r>
        <w:rPr>
          <w:rFonts w:hint="eastAsia" w:ascii="楷体" w:hAnsi="楷体" w:eastAsia="楷体" w:cs="楷体"/>
          <w:kern w:val="0"/>
          <w:sz w:val="24"/>
          <w:szCs w:val="24"/>
          <w:highlight w:val="none"/>
          <w:lang w:eastAsia="zh-CN"/>
        </w:rPr>
        <w:t>，条件优秀者，可提供三室一厅住房</w:t>
      </w:r>
      <w:r>
        <w:rPr>
          <w:rFonts w:hint="eastAsia" w:ascii="楷体" w:hAnsi="楷体" w:eastAsia="楷体" w:cs="楷体"/>
          <w:kern w:val="0"/>
          <w:sz w:val="24"/>
          <w:szCs w:val="24"/>
          <w:highlight w:val="none"/>
        </w:rPr>
        <w:t>。</w:t>
      </w:r>
    </w:p>
    <w:p>
      <w:pPr>
        <w:widowControl/>
        <w:spacing w:after="62" w:afterLines="20" w:line="360" w:lineRule="auto"/>
        <w:ind w:firstLine="482" w:firstLineChars="200"/>
        <w:rPr>
          <w:rFonts w:hint="eastAsia" w:ascii="楷体" w:hAnsi="楷体" w:eastAsia="楷体" w:cs="楷体"/>
          <w:b/>
          <w:bCs/>
          <w:kern w:val="0"/>
          <w:sz w:val="24"/>
          <w:szCs w:val="24"/>
          <w:highlight w:val="none"/>
          <w:lang w:val="en-US" w:eastAsia="zh-CN"/>
        </w:rPr>
      </w:pPr>
      <w:r>
        <w:rPr>
          <w:rFonts w:hint="eastAsia" w:ascii="楷体" w:hAnsi="楷体" w:eastAsia="楷体" w:cs="楷体"/>
          <w:b/>
          <w:bCs/>
          <w:kern w:val="0"/>
          <w:sz w:val="24"/>
          <w:szCs w:val="24"/>
          <w:highlight w:val="none"/>
          <w:lang w:val="en-US" w:eastAsia="zh-CN"/>
        </w:rPr>
        <w:t>7、单位福利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5天工作制、带薪年假、工会活动、年度体检、员工饭堂、法定假期，假期按国家规定执行，加班费按劳动法规定另行计算；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heme="minorEastAsia" w:eastAsiaTheme="minorEastAsia"/>
          <w:sz w:val="24"/>
          <w:szCs w:val="24"/>
          <w:highlight w:val="none"/>
          <w:lang w:val="en-US" w:eastAsia="zh-CN"/>
        </w:rPr>
      </w:pPr>
      <w:r>
        <w:rPr>
          <w:rFonts w:hint="eastAsia" w:ascii="楷体" w:hAnsi="楷体" w:eastAsia="楷体" w:cs="楷体"/>
          <w:color w:val="auto"/>
          <w:sz w:val="24"/>
          <w:szCs w:val="24"/>
          <w:lang w:val="en-US" w:eastAsia="zh-CN"/>
        </w:rPr>
        <w:t>六险二金、企业年金、岗位工资、绩效奖金、高温补贴、餐费补贴、执业资格补贴、生日礼金、节日福利及其他福利补贴等。</w:t>
      </w:r>
    </w:p>
    <w:p>
      <w:pPr>
        <w:spacing w:line="360" w:lineRule="auto"/>
        <w:rPr>
          <w:rFonts w:hint="eastAsia"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二、招聘条件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1、热爱祖国、遵纪守法、具有良好的政治素质和道德修养；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2、品学皆优，身体健康，年龄不超过35岁、获博士学位不超过3年；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Theme="minorEastAsia"/>
          <w:sz w:val="24"/>
          <w:szCs w:val="24"/>
        </w:rPr>
      </w:pPr>
      <w:r>
        <w:rPr>
          <w:rFonts w:hint="eastAsia" w:ascii="楷体" w:hAnsi="楷体" w:eastAsia="楷体" w:cs="楷体"/>
          <w:color w:val="auto"/>
          <w:sz w:val="24"/>
          <w:szCs w:val="24"/>
          <w:lang w:val="en-US" w:eastAsia="zh-CN"/>
        </w:rPr>
        <w:t>3、具有较强的独立科研能力、强烈的进取心和良好的团队合作精神。</w:t>
      </w:r>
    </w:p>
    <w:p>
      <w:pPr>
        <w:spacing w:line="360" w:lineRule="auto"/>
        <w:rPr>
          <w:rFonts w:hint="eastAsia"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三、招聘岗位（包括但不限于）</w:t>
      </w:r>
    </w:p>
    <w:tbl>
      <w:tblPr>
        <w:tblStyle w:val="5"/>
        <w:tblW w:w="836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94"/>
        <w:gridCol w:w="5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序号</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招聘岗位、专业</w:t>
            </w:r>
          </w:p>
        </w:tc>
        <w:tc>
          <w:tcPr>
            <w:tcW w:w="5460"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岗位要求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trPr>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1</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道路工程</w:t>
            </w:r>
          </w:p>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（相关专业）</w:t>
            </w:r>
          </w:p>
        </w:tc>
        <w:tc>
          <w:tcPr>
            <w:tcW w:w="5460" w:type="dxa"/>
            <w:vAlign w:val="center"/>
          </w:tcPr>
          <w:p>
            <w:pPr>
              <w:pStyle w:val="10"/>
              <w:numPr>
                <w:ilvl w:val="0"/>
                <w:numId w:val="2"/>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路面维修养护新材料和新工艺；</w:t>
            </w:r>
          </w:p>
          <w:p>
            <w:pPr>
              <w:pStyle w:val="10"/>
              <w:numPr>
                <w:ilvl w:val="0"/>
                <w:numId w:val="2"/>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路面再生新技术研发；</w:t>
            </w:r>
          </w:p>
          <w:p>
            <w:pPr>
              <w:pStyle w:val="10"/>
              <w:numPr>
                <w:ilvl w:val="0"/>
                <w:numId w:val="2"/>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路面施工监控新技术与新设备；</w:t>
            </w:r>
          </w:p>
          <w:p>
            <w:pPr>
              <w:pStyle w:val="10"/>
              <w:numPr>
                <w:ilvl w:val="0"/>
                <w:numId w:val="2"/>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路面检测新技术与新设备。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trPr>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2</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桥梁工程</w:t>
            </w:r>
          </w:p>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（相关专业）</w:t>
            </w:r>
          </w:p>
        </w:tc>
        <w:tc>
          <w:tcPr>
            <w:tcW w:w="5460" w:type="dxa"/>
            <w:vAlign w:val="center"/>
          </w:tcPr>
          <w:p>
            <w:pPr>
              <w:pStyle w:val="10"/>
              <w:numPr>
                <w:ilvl w:val="0"/>
                <w:numId w:val="3"/>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桥梁维修与养护技术；</w:t>
            </w:r>
          </w:p>
          <w:p>
            <w:pPr>
              <w:pStyle w:val="10"/>
              <w:numPr>
                <w:ilvl w:val="0"/>
                <w:numId w:val="3"/>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桥梁施工监测与监控检测；</w:t>
            </w:r>
          </w:p>
          <w:p>
            <w:pPr>
              <w:pStyle w:val="10"/>
              <w:numPr>
                <w:ilvl w:val="0"/>
                <w:numId w:val="3"/>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桥梁健康监测新技术和新设备；</w:t>
            </w:r>
          </w:p>
          <w:p>
            <w:pPr>
              <w:pStyle w:val="10"/>
              <w:numPr>
                <w:ilvl w:val="0"/>
                <w:numId w:val="3"/>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装配式桥梁检测新技术。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3</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岩土工程</w:t>
            </w:r>
          </w:p>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（相关专业）</w:t>
            </w:r>
          </w:p>
        </w:tc>
        <w:tc>
          <w:tcPr>
            <w:tcW w:w="5460" w:type="dxa"/>
            <w:vAlign w:val="center"/>
          </w:tcPr>
          <w:p>
            <w:pPr>
              <w:pStyle w:val="10"/>
              <w:numPr>
                <w:ilvl w:val="0"/>
                <w:numId w:val="4"/>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装配式地下结构检测与监测新技术研发；</w:t>
            </w:r>
          </w:p>
          <w:p>
            <w:pPr>
              <w:pStyle w:val="10"/>
              <w:numPr>
                <w:ilvl w:val="0"/>
                <w:numId w:val="4"/>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地下空间开发智能监测与风险评估；</w:t>
            </w:r>
          </w:p>
          <w:p>
            <w:pPr>
              <w:pStyle w:val="10"/>
              <w:numPr>
                <w:ilvl w:val="0"/>
                <w:numId w:val="4"/>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在役桩基检测与性能评估；</w:t>
            </w:r>
          </w:p>
          <w:p>
            <w:pPr>
              <w:pStyle w:val="10"/>
              <w:numPr>
                <w:ilvl w:val="0"/>
                <w:numId w:val="4"/>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土-结构相互作用分析与保护评估。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4</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结构工程</w:t>
            </w:r>
          </w:p>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（相关专业）</w:t>
            </w:r>
          </w:p>
        </w:tc>
        <w:tc>
          <w:tcPr>
            <w:tcW w:w="5460" w:type="dxa"/>
            <w:vAlign w:val="center"/>
          </w:tcPr>
          <w:p>
            <w:pPr>
              <w:pStyle w:val="10"/>
              <w:numPr>
                <w:ilvl w:val="0"/>
                <w:numId w:val="5"/>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装配式建筑检测新技术研发；</w:t>
            </w:r>
          </w:p>
          <w:p>
            <w:pPr>
              <w:pStyle w:val="10"/>
              <w:numPr>
                <w:ilvl w:val="0"/>
                <w:numId w:val="5"/>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既有建筑加固新技术和新工艺；</w:t>
            </w:r>
          </w:p>
          <w:p>
            <w:pPr>
              <w:pStyle w:val="10"/>
              <w:numPr>
                <w:ilvl w:val="0"/>
                <w:numId w:val="5"/>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房屋安全鉴定新技术。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5</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材料工程</w:t>
            </w:r>
          </w:p>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（相关专业）</w:t>
            </w:r>
          </w:p>
        </w:tc>
        <w:tc>
          <w:tcPr>
            <w:tcW w:w="5460" w:type="dxa"/>
            <w:vAlign w:val="center"/>
          </w:tcPr>
          <w:p>
            <w:pPr>
              <w:pStyle w:val="10"/>
              <w:numPr>
                <w:ilvl w:val="0"/>
                <w:numId w:val="6"/>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土建工程新型结构材料研发；</w:t>
            </w:r>
          </w:p>
          <w:p>
            <w:pPr>
              <w:pStyle w:val="10"/>
              <w:numPr>
                <w:ilvl w:val="0"/>
                <w:numId w:val="6"/>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既有工程维护加固新型或特种材料研发；</w:t>
            </w:r>
          </w:p>
          <w:p>
            <w:pPr>
              <w:pStyle w:val="10"/>
              <w:numPr>
                <w:ilvl w:val="0"/>
                <w:numId w:val="6"/>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土木工程相关安全、环保领域功能材料研发；</w:t>
            </w:r>
          </w:p>
          <w:p>
            <w:pPr>
              <w:pStyle w:val="10"/>
              <w:numPr>
                <w:ilvl w:val="0"/>
                <w:numId w:val="6"/>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公路养护相关新材料研发。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6</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环境工程、化学、化工、生物等相关专业</w:t>
            </w:r>
          </w:p>
        </w:tc>
        <w:tc>
          <w:tcPr>
            <w:tcW w:w="5460" w:type="dxa"/>
            <w:vAlign w:val="center"/>
          </w:tcPr>
          <w:p>
            <w:pPr>
              <w:pStyle w:val="10"/>
              <w:spacing w:line="360" w:lineRule="auto"/>
              <w:ind w:left="480" w:firstLine="0" w:firstLineChars="0"/>
              <w:rPr>
                <w:rFonts w:hint="eastAsia" w:ascii="楷体" w:hAnsi="楷体" w:eastAsia="楷体" w:cs="楷体"/>
                <w:sz w:val="24"/>
                <w:szCs w:val="24"/>
              </w:rPr>
            </w:pPr>
            <w:r>
              <w:rPr>
                <w:rFonts w:hint="eastAsia" w:ascii="楷体" w:hAnsi="楷体" w:eastAsia="楷体" w:cs="楷体"/>
                <w:sz w:val="24"/>
                <w:szCs w:val="24"/>
              </w:rPr>
              <w:t>1）土建工程环境领域检测新理论与技术研究；</w:t>
            </w:r>
          </w:p>
          <w:p>
            <w:pPr>
              <w:pStyle w:val="10"/>
              <w:spacing w:line="360" w:lineRule="auto"/>
              <w:ind w:left="480" w:firstLine="0" w:firstLineChars="0"/>
              <w:rPr>
                <w:rFonts w:hint="eastAsia" w:ascii="楷体" w:hAnsi="楷体" w:eastAsia="楷体" w:cs="楷体"/>
                <w:sz w:val="24"/>
                <w:szCs w:val="24"/>
              </w:rPr>
            </w:pPr>
            <w:r>
              <w:rPr>
                <w:rFonts w:hint="eastAsia" w:ascii="楷体" w:hAnsi="楷体" w:eastAsia="楷体" w:cs="楷体"/>
                <w:sz w:val="24"/>
                <w:szCs w:val="24"/>
              </w:rPr>
              <w:t>2）土木工程结构退化及安全性研究。</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firstLine="480" w:firstLineChars="200"/>
        <w:jc w:val="both"/>
        <w:textAlignment w:val="auto"/>
        <w:rPr>
          <w:rFonts w:hint="eastAsia" w:ascii="楷体" w:hAnsi="楷体" w:eastAsia="楷体" w:cs="楷体"/>
          <w:color w:val="C00000"/>
          <w:sz w:val="24"/>
          <w:szCs w:val="24"/>
          <w:lang w:val="en-US" w:eastAsia="zh-CN"/>
        </w:rPr>
      </w:pPr>
      <w:r>
        <w:rPr>
          <w:rFonts w:hint="eastAsia" w:ascii="楷体" w:hAnsi="楷体" w:eastAsia="楷体" w:cs="楷体"/>
          <w:color w:val="C00000"/>
          <w:sz w:val="24"/>
          <w:szCs w:val="24"/>
          <w:lang w:val="en-US" w:eastAsia="zh-CN"/>
        </w:rPr>
        <w:t>工作地点：广州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初试、复试均可视频面试，面试通过即签三方协议。</w:t>
      </w:r>
    </w:p>
    <w:p>
      <w:pPr>
        <w:spacing w:line="360" w:lineRule="auto"/>
        <w:rPr>
          <w:rFonts w:hint="eastAsia"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四、招收办法</w:t>
      </w:r>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按照“公平竞争，择优录取”的原则，拟招聘5</w:t>
      </w:r>
      <w:r>
        <w:rPr>
          <w:rFonts w:hint="eastAsia" w:ascii="Times New Roman" w:hAnsi="Times New Roman" w:eastAsiaTheme="minorEastAsia"/>
          <w:sz w:val="24"/>
          <w:szCs w:val="24"/>
        </w:rPr>
        <w:t>~</w:t>
      </w:r>
      <w:r>
        <w:rPr>
          <w:rFonts w:hint="eastAsia" w:ascii="楷体" w:hAnsi="楷体" w:eastAsia="楷体" w:cs="楷体"/>
          <w:color w:val="auto"/>
          <w:sz w:val="24"/>
          <w:szCs w:val="24"/>
          <w:lang w:val="en-US" w:eastAsia="zh-CN"/>
        </w:rPr>
        <w:t>10名博士，申请人应提供以下材料：</w:t>
      </w:r>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1、本人简历及个人科研成果业绩资料；</w:t>
      </w:r>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2、应聘岗位相关的课题研究成果及研究思路计划。</w:t>
      </w:r>
    </w:p>
    <w:p>
      <w:pPr>
        <w:spacing w:line="360" w:lineRule="auto"/>
        <w:rPr>
          <w:rFonts w:hint="eastAsia"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五、联系方式</w:t>
      </w:r>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通讯地址：广州市天河区天源路1119号育龙居B栋首层 </w:t>
      </w:r>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网址：http://sz.gibs.com.cn/    邮编：510520</w:t>
      </w:r>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联系人：来小姐、杨小姐  电话：18210863907 / </w:t>
      </w:r>
      <w:bookmarkStart w:id="0" w:name="_GoBack"/>
      <w:r>
        <w:rPr>
          <w:rFonts w:hint="eastAsia" w:ascii="楷体" w:hAnsi="楷体" w:eastAsia="楷体" w:cs="楷体"/>
          <w:color w:val="auto"/>
          <w:sz w:val="24"/>
          <w:szCs w:val="24"/>
          <w:lang w:val="en-US" w:eastAsia="zh-CN"/>
        </w:rPr>
        <w:t>18122462767</w:t>
      </w:r>
      <w:bookmarkEnd w:id="0"/>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邮箱：</w:t>
      </w:r>
      <w:r>
        <w:rPr>
          <w:rFonts w:hint="eastAsia" w:ascii="楷体" w:hAnsi="楷体" w:eastAsia="楷体" w:cs="楷体"/>
          <w:color w:val="auto"/>
          <w:sz w:val="24"/>
          <w:szCs w:val="24"/>
          <w:lang w:val="en-US" w:eastAsia="zh-CN"/>
        </w:rPr>
        <w:fldChar w:fldCharType="begin"/>
      </w:r>
      <w:r>
        <w:rPr>
          <w:rFonts w:hint="eastAsia" w:ascii="楷体" w:hAnsi="楷体" w:eastAsia="楷体" w:cs="楷体"/>
          <w:color w:val="auto"/>
          <w:sz w:val="24"/>
          <w:szCs w:val="24"/>
          <w:lang w:val="en-US" w:eastAsia="zh-CN"/>
        </w:rPr>
        <w:instrText xml:space="preserve"> HYPERLINK "mailto:gmtcn@126.com" </w:instrText>
      </w:r>
      <w:r>
        <w:rPr>
          <w:rFonts w:hint="eastAsia" w:ascii="楷体" w:hAnsi="楷体" w:eastAsia="楷体" w:cs="楷体"/>
          <w:color w:val="auto"/>
          <w:sz w:val="24"/>
          <w:szCs w:val="24"/>
          <w:lang w:val="en-US" w:eastAsia="zh-CN"/>
        </w:rPr>
        <w:fldChar w:fldCharType="separate"/>
      </w:r>
      <w:r>
        <w:rPr>
          <w:rFonts w:hint="eastAsia" w:ascii="楷体" w:hAnsi="楷体" w:eastAsia="楷体" w:cs="楷体"/>
          <w:color w:val="auto"/>
          <w:sz w:val="24"/>
          <w:szCs w:val="24"/>
          <w:lang w:val="en-US" w:eastAsia="zh-CN"/>
        </w:rPr>
        <w:t>gmtcn@126.com</w:t>
      </w:r>
      <w:r>
        <w:rPr>
          <w:rFonts w:hint="eastAsia" w:ascii="楷体" w:hAnsi="楷体" w:eastAsia="楷体" w:cs="楷体"/>
          <w:color w:val="auto"/>
          <w:sz w:val="24"/>
          <w:szCs w:val="24"/>
          <w:lang w:val="en-US" w:eastAsia="zh-CN"/>
        </w:rPr>
        <w:fldChar w:fldCharType="end"/>
      </w:r>
      <w:r>
        <w:rPr>
          <w:rFonts w:hint="eastAsia" w:ascii="楷体" w:hAnsi="楷体" w:eastAsia="楷体" w:cs="楷体"/>
          <w:color w:val="auto"/>
          <w:sz w:val="24"/>
          <w:szCs w:val="24"/>
          <w:lang w:val="en-US" w:eastAsia="zh-CN"/>
        </w:rPr>
        <w:t xml:space="preserve"> （邮件主题：博士后应聘+姓名+专业+电话+应聘岗位）</w:t>
      </w:r>
    </w:p>
    <w:p>
      <w:pPr>
        <w:spacing w:line="360" w:lineRule="auto"/>
        <w:ind w:firstLine="480" w:firstLineChars="200"/>
        <w:rPr>
          <w:rFonts w:hint="eastAsia" w:ascii="楷体" w:hAnsi="楷体" w:eastAsia="楷体" w:cs="楷体"/>
          <w:color w:val="auto"/>
          <w:sz w:val="24"/>
          <w:szCs w:val="24"/>
          <w:lang w:val="en-US" w:eastAsia="zh-CN"/>
        </w:rPr>
      </w:pPr>
    </w:p>
    <w:p>
      <w:pPr>
        <w:widowControl/>
        <w:spacing w:line="360" w:lineRule="auto"/>
        <w:jc w:val="center"/>
        <w:rPr>
          <w:rFonts w:hint="eastAsia" w:ascii="Microsoft JhengHei UI" w:hAnsi="Microsoft JhengHei UI" w:eastAsia="Microsoft JhengHei UI" w:cs="Microsoft JhengHei UI"/>
          <w:b/>
          <w:color w:val="000000"/>
          <w:kern w:val="0"/>
          <w:sz w:val="36"/>
          <w:szCs w:val="36"/>
          <w:lang w:bidi="ar"/>
        </w:rPr>
      </w:pPr>
      <w:r>
        <w:rPr>
          <w:rFonts w:hint="eastAsia" w:ascii="Microsoft JhengHei UI" w:hAnsi="Microsoft JhengHei UI" w:eastAsia="Microsoft JhengHei UI" w:cs="Microsoft JhengHei UI"/>
          <w:b/>
          <w:color w:val="000000"/>
          <w:kern w:val="0"/>
          <w:sz w:val="36"/>
          <w:szCs w:val="36"/>
          <w:lang w:bidi="ar"/>
        </w:rPr>
        <w:t>加入我们</w:t>
      </w:r>
      <w:r>
        <w:rPr>
          <w:rFonts w:hint="eastAsia" w:asciiTheme="majorEastAsia" w:hAnsiTheme="majorEastAsia" w:eastAsiaTheme="majorEastAsia" w:cstheme="majorEastAsia"/>
          <w:b/>
          <w:color w:val="000000"/>
          <w:kern w:val="0"/>
          <w:sz w:val="36"/>
          <w:szCs w:val="36"/>
          <w:lang w:val="en-US" w:eastAsia="zh-CN" w:bidi="ar"/>
        </w:rPr>
        <w:t>,</w:t>
      </w:r>
      <w:r>
        <w:rPr>
          <w:rFonts w:hint="eastAsia" w:ascii="Microsoft JhengHei UI" w:hAnsi="Microsoft JhengHei UI" w:eastAsia="Microsoft JhengHei UI" w:cs="Microsoft JhengHei UI"/>
          <w:b/>
          <w:color w:val="000000"/>
          <w:kern w:val="0"/>
          <w:sz w:val="36"/>
          <w:szCs w:val="36"/>
          <w:lang w:bidi="ar"/>
        </w:rPr>
        <w:t>共创科技研发新征途</w:t>
      </w:r>
      <w:r>
        <w:rPr>
          <w:rFonts w:hint="eastAsia" w:asciiTheme="majorEastAsia" w:hAnsiTheme="majorEastAsia" w:eastAsiaTheme="majorEastAsia" w:cstheme="majorEastAsia"/>
          <w:b/>
          <w:color w:val="000000"/>
          <w:kern w:val="0"/>
          <w:sz w:val="36"/>
          <w:szCs w:val="36"/>
          <w:lang w:bidi="ar"/>
        </w:rPr>
        <w:t>！</w:t>
      </w:r>
    </w:p>
    <w:p>
      <w:pPr>
        <w:spacing w:line="360" w:lineRule="auto"/>
        <w:rPr>
          <w:rFonts w:ascii="Times New Roman" w:hAnsi="Times New Roman" w:eastAsiaTheme="minorEastAsia"/>
          <w:sz w:val="24"/>
          <w:szCs w:val="24"/>
        </w:rPr>
      </w:pPr>
    </w:p>
    <w:p>
      <w:pPr>
        <w:spacing w:line="360" w:lineRule="auto"/>
        <w:rPr>
          <w:rFonts w:ascii="Times New Roman" w:hAnsi="Times New Roman" w:eastAsia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Microsoft JhengHei U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1B5E2"/>
    <w:multiLevelType w:val="singleLevel"/>
    <w:tmpl w:val="15E1B5E2"/>
    <w:lvl w:ilvl="0" w:tentative="0">
      <w:start w:val="3"/>
      <w:numFmt w:val="decimal"/>
      <w:suff w:val="nothing"/>
      <w:lvlText w:val="%1、"/>
      <w:lvlJc w:val="left"/>
    </w:lvl>
  </w:abstractNum>
  <w:abstractNum w:abstractNumId="1">
    <w:nsid w:val="45BF702F"/>
    <w:multiLevelType w:val="multilevel"/>
    <w:tmpl w:val="45BF702F"/>
    <w:lvl w:ilvl="0" w:tentative="0">
      <w:start w:val="1"/>
      <w:numFmt w:val="decimal"/>
      <w:lvlText w:val="%1)"/>
      <w:lvlJc w:val="left"/>
      <w:pPr>
        <w:ind w:left="3289" w:hanging="420"/>
      </w:pPr>
    </w:lvl>
    <w:lvl w:ilvl="1" w:tentative="0">
      <w:start w:val="1"/>
      <w:numFmt w:val="lowerLetter"/>
      <w:lvlText w:val="%2)"/>
      <w:lvlJc w:val="left"/>
      <w:pPr>
        <w:ind w:left="3709" w:hanging="420"/>
      </w:pPr>
    </w:lvl>
    <w:lvl w:ilvl="2" w:tentative="0">
      <w:start w:val="1"/>
      <w:numFmt w:val="lowerRoman"/>
      <w:lvlText w:val="%3."/>
      <w:lvlJc w:val="right"/>
      <w:pPr>
        <w:ind w:left="4129" w:hanging="420"/>
      </w:pPr>
    </w:lvl>
    <w:lvl w:ilvl="3" w:tentative="0">
      <w:start w:val="1"/>
      <w:numFmt w:val="decimal"/>
      <w:lvlText w:val="%4."/>
      <w:lvlJc w:val="left"/>
      <w:pPr>
        <w:ind w:left="4549" w:hanging="420"/>
      </w:pPr>
    </w:lvl>
    <w:lvl w:ilvl="4" w:tentative="0">
      <w:start w:val="1"/>
      <w:numFmt w:val="lowerLetter"/>
      <w:lvlText w:val="%5)"/>
      <w:lvlJc w:val="left"/>
      <w:pPr>
        <w:ind w:left="4969" w:hanging="420"/>
      </w:pPr>
    </w:lvl>
    <w:lvl w:ilvl="5" w:tentative="0">
      <w:start w:val="1"/>
      <w:numFmt w:val="lowerRoman"/>
      <w:lvlText w:val="%6."/>
      <w:lvlJc w:val="right"/>
      <w:pPr>
        <w:ind w:left="5389" w:hanging="420"/>
      </w:pPr>
    </w:lvl>
    <w:lvl w:ilvl="6" w:tentative="0">
      <w:start w:val="1"/>
      <w:numFmt w:val="decimal"/>
      <w:lvlText w:val="%7."/>
      <w:lvlJc w:val="left"/>
      <w:pPr>
        <w:ind w:left="5809" w:hanging="420"/>
      </w:pPr>
    </w:lvl>
    <w:lvl w:ilvl="7" w:tentative="0">
      <w:start w:val="1"/>
      <w:numFmt w:val="lowerLetter"/>
      <w:lvlText w:val="%8)"/>
      <w:lvlJc w:val="left"/>
      <w:pPr>
        <w:ind w:left="6229" w:hanging="420"/>
      </w:pPr>
    </w:lvl>
    <w:lvl w:ilvl="8" w:tentative="0">
      <w:start w:val="1"/>
      <w:numFmt w:val="lowerRoman"/>
      <w:lvlText w:val="%9."/>
      <w:lvlJc w:val="right"/>
      <w:pPr>
        <w:ind w:left="6649" w:hanging="420"/>
      </w:pPr>
    </w:lvl>
  </w:abstractNum>
  <w:abstractNum w:abstractNumId="2">
    <w:nsid w:val="5A094BEA"/>
    <w:multiLevelType w:val="multilevel"/>
    <w:tmpl w:val="5A094BEA"/>
    <w:lvl w:ilvl="0" w:tentative="0">
      <w:start w:val="1"/>
      <w:numFmt w:val="decimal"/>
      <w:lvlText w:val="%1）"/>
      <w:lvlJc w:val="left"/>
      <w:pPr>
        <w:ind w:left="825" w:hanging="36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3">
    <w:nsid w:val="735845CE"/>
    <w:multiLevelType w:val="multilevel"/>
    <w:tmpl w:val="735845CE"/>
    <w:lvl w:ilvl="0" w:tentative="0">
      <w:start w:val="1"/>
      <w:numFmt w:val="decimal"/>
      <w:lvlText w:val="%1）"/>
      <w:lvlJc w:val="left"/>
      <w:pPr>
        <w:ind w:left="825" w:hanging="36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4">
    <w:nsid w:val="74884838"/>
    <w:multiLevelType w:val="multilevel"/>
    <w:tmpl w:val="74884838"/>
    <w:lvl w:ilvl="0" w:tentative="0">
      <w:start w:val="1"/>
      <w:numFmt w:val="decimal"/>
      <w:lvlText w:val="%1)"/>
      <w:lvlJc w:val="left"/>
      <w:pPr>
        <w:ind w:left="3289" w:hanging="420"/>
      </w:pPr>
    </w:lvl>
    <w:lvl w:ilvl="1" w:tentative="0">
      <w:start w:val="1"/>
      <w:numFmt w:val="lowerLetter"/>
      <w:lvlText w:val="%2)"/>
      <w:lvlJc w:val="left"/>
      <w:pPr>
        <w:ind w:left="3709" w:hanging="420"/>
      </w:pPr>
    </w:lvl>
    <w:lvl w:ilvl="2" w:tentative="0">
      <w:start w:val="1"/>
      <w:numFmt w:val="lowerRoman"/>
      <w:lvlText w:val="%3."/>
      <w:lvlJc w:val="right"/>
      <w:pPr>
        <w:ind w:left="4129" w:hanging="420"/>
      </w:pPr>
    </w:lvl>
    <w:lvl w:ilvl="3" w:tentative="0">
      <w:start w:val="1"/>
      <w:numFmt w:val="decimal"/>
      <w:lvlText w:val="%4."/>
      <w:lvlJc w:val="left"/>
      <w:pPr>
        <w:ind w:left="4549" w:hanging="420"/>
      </w:pPr>
    </w:lvl>
    <w:lvl w:ilvl="4" w:tentative="0">
      <w:start w:val="1"/>
      <w:numFmt w:val="lowerLetter"/>
      <w:lvlText w:val="%5)"/>
      <w:lvlJc w:val="left"/>
      <w:pPr>
        <w:ind w:left="4969" w:hanging="420"/>
      </w:pPr>
    </w:lvl>
    <w:lvl w:ilvl="5" w:tentative="0">
      <w:start w:val="1"/>
      <w:numFmt w:val="lowerRoman"/>
      <w:lvlText w:val="%6."/>
      <w:lvlJc w:val="right"/>
      <w:pPr>
        <w:ind w:left="5389" w:hanging="420"/>
      </w:pPr>
    </w:lvl>
    <w:lvl w:ilvl="6" w:tentative="0">
      <w:start w:val="1"/>
      <w:numFmt w:val="decimal"/>
      <w:lvlText w:val="%7."/>
      <w:lvlJc w:val="left"/>
      <w:pPr>
        <w:ind w:left="5809" w:hanging="420"/>
      </w:pPr>
    </w:lvl>
    <w:lvl w:ilvl="7" w:tentative="0">
      <w:start w:val="1"/>
      <w:numFmt w:val="lowerLetter"/>
      <w:lvlText w:val="%8)"/>
      <w:lvlJc w:val="left"/>
      <w:pPr>
        <w:ind w:left="6229" w:hanging="420"/>
      </w:pPr>
    </w:lvl>
    <w:lvl w:ilvl="8" w:tentative="0">
      <w:start w:val="1"/>
      <w:numFmt w:val="lowerRoman"/>
      <w:lvlText w:val="%9."/>
      <w:lvlJc w:val="right"/>
      <w:pPr>
        <w:ind w:left="6649" w:hanging="420"/>
      </w:pPr>
    </w:lvl>
  </w:abstractNum>
  <w:abstractNum w:abstractNumId="5">
    <w:nsid w:val="7B096A7B"/>
    <w:multiLevelType w:val="multilevel"/>
    <w:tmpl w:val="7B096A7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49"/>
    <w:rsid w:val="00004EAF"/>
    <w:rsid w:val="00007851"/>
    <w:rsid w:val="00010C16"/>
    <w:rsid w:val="00065849"/>
    <w:rsid w:val="00073A80"/>
    <w:rsid w:val="00073FE1"/>
    <w:rsid w:val="000824EE"/>
    <w:rsid w:val="000C2126"/>
    <w:rsid w:val="000E6664"/>
    <w:rsid w:val="000F19F1"/>
    <w:rsid w:val="00100E60"/>
    <w:rsid w:val="001018B2"/>
    <w:rsid w:val="001038DE"/>
    <w:rsid w:val="00106F7C"/>
    <w:rsid w:val="001311A3"/>
    <w:rsid w:val="00135F4E"/>
    <w:rsid w:val="001571CA"/>
    <w:rsid w:val="001669DC"/>
    <w:rsid w:val="0017214C"/>
    <w:rsid w:val="001824E4"/>
    <w:rsid w:val="001936A8"/>
    <w:rsid w:val="001A42B4"/>
    <w:rsid w:val="001A5304"/>
    <w:rsid w:val="001A79C8"/>
    <w:rsid w:val="001C2C6C"/>
    <w:rsid w:val="001D23A0"/>
    <w:rsid w:val="001E4A1C"/>
    <w:rsid w:val="001E78A7"/>
    <w:rsid w:val="001F370D"/>
    <w:rsid w:val="002038F8"/>
    <w:rsid w:val="002159A4"/>
    <w:rsid w:val="002470D8"/>
    <w:rsid w:val="002748A8"/>
    <w:rsid w:val="002877F0"/>
    <w:rsid w:val="00294FFA"/>
    <w:rsid w:val="00296BB7"/>
    <w:rsid w:val="002C24C1"/>
    <w:rsid w:val="002D32C5"/>
    <w:rsid w:val="002D5713"/>
    <w:rsid w:val="003218CE"/>
    <w:rsid w:val="003324C6"/>
    <w:rsid w:val="0035327A"/>
    <w:rsid w:val="0035546D"/>
    <w:rsid w:val="00362C6B"/>
    <w:rsid w:val="00372CA5"/>
    <w:rsid w:val="003938ED"/>
    <w:rsid w:val="003B2069"/>
    <w:rsid w:val="003D0A21"/>
    <w:rsid w:val="003E170E"/>
    <w:rsid w:val="003F18B5"/>
    <w:rsid w:val="00403620"/>
    <w:rsid w:val="0041651C"/>
    <w:rsid w:val="00416E52"/>
    <w:rsid w:val="00421231"/>
    <w:rsid w:val="00427C1C"/>
    <w:rsid w:val="00447CA0"/>
    <w:rsid w:val="00450B68"/>
    <w:rsid w:val="00451EA5"/>
    <w:rsid w:val="00480934"/>
    <w:rsid w:val="00491A6F"/>
    <w:rsid w:val="004B0FD1"/>
    <w:rsid w:val="004E3FC9"/>
    <w:rsid w:val="004F7BA4"/>
    <w:rsid w:val="00505E68"/>
    <w:rsid w:val="00526135"/>
    <w:rsid w:val="00536E82"/>
    <w:rsid w:val="00576339"/>
    <w:rsid w:val="005805BE"/>
    <w:rsid w:val="005858B2"/>
    <w:rsid w:val="005B10BF"/>
    <w:rsid w:val="005B74A3"/>
    <w:rsid w:val="005C11C4"/>
    <w:rsid w:val="005D5ADC"/>
    <w:rsid w:val="005D7ED4"/>
    <w:rsid w:val="005E7367"/>
    <w:rsid w:val="005F1CDA"/>
    <w:rsid w:val="006129A6"/>
    <w:rsid w:val="00614988"/>
    <w:rsid w:val="00641005"/>
    <w:rsid w:val="00671868"/>
    <w:rsid w:val="00671FF8"/>
    <w:rsid w:val="006A50FB"/>
    <w:rsid w:val="006B0961"/>
    <w:rsid w:val="006C573F"/>
    <w:rsid w:val="006C5CD8"/>
    <w:rsid w:val="006E5F84"/>
    <w:rsid w:val="006F01E2"/>
    <w:rsid w:val="006F1D13"/>
    <w:rsid w:val="006F3F77"/>
    <w:rsid w:val="006F7167"/>
    <w:rsid w:val="00711E2F"/>
    <w:rsid w:val="00727934"/>
    <w:rsid w:val="00732BC2"/>
    <w:rsid w:val="0074684B"/>
    <w:rsid w:val="0077208F"/>
    <w:rsid w:val="00773494"/>
    <w:rsid w:val="00784FD1"/>
    <w:rsid w:val="007A08BF"/>
    <w:rsid w:val="007A5044"/>
    <w:rsid w:val="007B2BCB"/>
    <w:rsid w:val="007C321F"/>
    <w:rsid w:val="007C4315"/>
    <w:rsid w:val="007C79DC"/>
    <w:rsid w:val="007F3BCC"/>
    <w:rsid w:val="00811505"/>
    <w:rsid w:val="008253C2"/>
    <w:rsid w:val="008264B9"/>
    <w:rsid w:val="00832897"/>
    <w:rsid w:val="008731C6"/>
    <w:rsid w:val="008B42A2"/>
    <w:rsid w:val="008B6565"/>
    <w:rsid w:val="008C3C70"/>
    <w:rsid w:val="008D77AB"/>
    <w:rsid w:val="008E2B63"/>
    <w:rsid w:val="008E6870"/>
    <w:rsid w:val="008F64B2"/>
    <w:rsid w:val="008F6F9B"/>
    <w:rsid w:val="009277E8"/>
    <w:rsid w:val="009454B0"/>
    <w:rsid w:val="00962CA1"/>
    <w:rsid w:val="00973E04"/>
    <w:rsid w:val="00995B1C"/>
    <w:rsid w:val="00996A69"/>
    <w:rsid w:val="009E2B4B"/>
    <w:rsid w:val="009F473F"/>
    <w:rsid w:val="009F5C66"/>
    <w:rsid w:val="00A10B3F"/>
    <w:rsid w:val="00A160E6"/>
    <w:rsid w:val="00A2587E"/>
    <w:rsid w:val="00A26CAD"/>
    <w:rsid w:val="00A31FAB"/>
    <w:rsid w:val="00A55535"/>
    <w:rsid w:val="00A61C3F"/>
    <w:rsid w:val="00A71F85"/>
    <w:rsid w:val="00A725A1"/>
    <w:rsid w:val="00A800CD"/>
    <w:rsid w:val="00A907C2"/>
    <w:rsid w:val="00A910BF"/>
    <w:rsid w:val="00AC62A5"/>
    <w:rsid w:val="00AF3281"/>
    <w:rsid w:val="00B47E44"/>
    <w:rsid w:val="00B617F1"/>
    <w:rsid w:val="00B82DF7"/>
    <w:rsid w:val="00B87AD2"/>
    <w:rsid w:val="00B92793"/>
    <w:rsid w:val="00BA47D0"/>
    <w:rsid w:val="00BC7F2C"/>
    <w:rsid w:val="00BE509C"/>
    <w:rsid w:val="00C320AE"/>
    <w:rsid w:val="00C628C7"/>
    <w:rsid w:val="00C753AE"/>
    <w:rsid w:val="00C927D8"/>
    <w:rsid w:val="00CF4892"/>
    <w:rsid w:val="00D13EB9"/>
    <w:rsid w:val="00D30F8C"/>
    <w:rsid w:val="00D3623B"/>
    <w:rsid w:val="00D64038"/>
    <w:rsid w:val="00D702E3"/>
    <w:rsid w:val="00D720E4"/>
    <w:rsid w:val="00D93915"/>
    <w:rsid w:val="00D94B00"/>
    <w:rsid w:val="00DA2D60"/>
    <w:rsid w:val="00DA3D58"/>
    <w:rsid w:val="00DB0A86"/>
    <w:rsid w:val="00DB1AD9"/>
    <w:rsid w:val="00DC2643"/>
    <w:rsid w:val="00DC4654"/>
    <w:rsid w:val="00DF5183"/>
    <w:rsid w:val="00DF6E43"/>
    <w:rsid w:val="00E5770E"/>
    <w:rsid w:val="00EC034F"/>
    <w:rsid w:val="00EC7990"/>
    <w:rsid w:val="00ED5C82"/>
    <w:rsid w:val="00EF12D3"/>
    <w:rsid w:val="00F236CD"/>
    <w:rsid w:val="00F4252E"/>
    <w:rsid w:val="00F765CD"/>
    <w:rsid w:val="00FA4A2E"/>
    <w:rsid w:val="00FA6906"/>
    <w:rsid w:val="00FB1A1D"/>
    <w:rsid w:val="00FC4044"/>
    <w:rsid w:val="00FC45FE"/>
    <w:rsid w:val="00FD2A8D"/>
    <w:rsid w:val="00FF177F"/>
    <w:rsid w:val="058D5EF7"/>
    <w:rsid w:val="070701A8"/>
    <w:rsid w:val="07D57C8D"/>
    <w:rsid w:val="09263872"/>
    <w:rsid w:val="0B9F0121"/>
    <w:rsid w:val="0BE15037"/>
    <w:rsid w:val="0D68420C"/>
    <w:rsid w:val="0F0208F3"/>
    <w:rsid w:val="146F6DDD"/>
    <w:rsid w:val="176A0A64"/>
    <w:rsid w:val="19041E68"/>
    <w:rsid w:val="19F30561"/>
    <w:rsid w:val="1BA77029"/>
    <w:rsid w:val="20C83263"/>
    <w:rsid w:val="22017640"/>
    <w:rsid w:val="22C25B10"/>
    <w:rsid w:val="26BF241C"/>
    <w:rsid w:val="28DB6AC0"/>
    <w:rsid w:val="34F54F01"/>
    <w:rsid w:val="35445CFA"/>
    <w:rsid w:val="383E6D6D"/>
    <w:rsid w:val="38B45CFB"/>
    <w:rsid w:val="38CA23FB"/>
    <w:rsid w:val="3C5A0E68"/>
    <w:rsid w:val="3ECA45A5"/>
    <w:rsid w:val="40F65AF8"/>
    <w:rsid w:val="44094A4D"/>
    <w:rsid w:val="451F504C"/>
    <w:rsid w:val="46F8469D"/>
    <w:rsid w:val="4BDA4535"/>
    <w:rsid w:val="4E781589"/>
    <w:rsid w:val="4F1F4A33"/>
    <w:rsid w:val="4F781C57"/>
    <w:rsid w:val="54D8284B"/>
    <w:rsid w:val="55FF6F9D"/>
    <w:rsid w:val="57F631C4"/>
    <w:rsid w:val="5DAC568B"/>
    <w:rsid w:val="60106A98"/>
    <w:rsid w:val="606B0185"/>
    <w:rsid w:val="62B85DA3"/>
    <w:rsid w:val="6674743F"/>
    <w:rsid w:val="68FB5857"/>
    <w:rsid w:val="6BD42B42"/>
    <w:rsid w:val="6D142589"/>
    <w:rsid w:val="6D2162F9"/>
    <w:rsid w:val="700C38EF"/>
    <w:rsid w:val="712C72D7"/>
    <w:rsid w:val="720F3BD9"/>
    <w:rsid w:val="7567276C"/>
    <w:rsid w:val="780D2918"/>
    <w:rsid w:val="7A867D94"/>
    <w:rsid w:val="7BE51A06"/>
    <w:rsid w:val="7F5E4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4444D2-68D0-4A68-8F04-520D4C6F05A7}">
  <ds:schemaRefs/>
</ds:datastoreItem>
</file>

<file path=docProps/app.xml><?xml version="1.0" encoding="utf-8"?>
<Properties xmlns="http://schemas.openxmlformats.org/officeDocument/2006/extended-properties" xmlns:vt="http://schemas.openxmlformats.org/officeDocument/2006/docPropsVTypes">
  <Template>Normal</Template>
  <Pages>3</Pages>
  <Words>1579</Words>
  <Characters>1653</Characters>
  <Lines>11</Lines>
  <Paragraphs>3</Paragraphs>
  <TotalTime>0</TotalTime>
  <ScaleCrop>false</ScaleCrop>
  <LinksUpToDate>false</LinksUpToDate>
  <CharactersWithSpaces>1663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2018-12-07T01:36:00Z</dcterms:created>
  <dc:creator>总工007</dc:creator>
  <cp:lastModifiedBy>administrator</cp:lastModifiedBy>
  <cp:lastPrinted>2021-09-09T10:25:00Z</cp:lastPrinted>
  <dcterms:modified xsi:type="dcterms:W3CDTF">2022-03-21T09:06:41Z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A03ED8104150473494C7DFFE48FDC5AF</vt:lpwstr>
  </property>
</Properties>
</file>